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bookmarkStart w:id="0" w:name="_GoBack"/>
      <w:bookmarkEnd w:id="0"/>
      <w:r>
        <w:rPr>
          <w:rFonts w:hint="eastAsia"/>
          <w:b/>
          <w:bCs/>
          <w:sz w:val="32"/>
          <w:szCs w:val="32"/>
          <w:lang w:val="en-US" w:eastAsia="zh-CN"/>
        </w:rPr>
        <w:t>Mobile Impact Crusher</w:t>
      </w:r>
    </w:p>
    <w:p>
      <w:pPr>
        <w:jc w:val="center"/>
        <w:rPr>
          <w:rFonts w:hint="eastAsia"/>
          <w:b/>
          <w:bCs/>
          <w:sz w:val="32"/>
          <w:szCs w:val="32"/>
          <w:lang w:val="en-US" w:eastAsia="zh-CN"/>
        </w:rPr>
      </w:pPr>
    </w:p>
    <w:p>
      <w:pPr>
        <w:numPr>
          <w:ilvl w:val="0"/>
          <w:numId w:val="1"/>
        </w:numPr>
        <w:rPr>
          <w:rFonts w:hint="eastAsia"/>
          <w:b/>
          <w:bCs/>
          <w:sz w:val="32"/>
          <w:szCs w:val="32"/>
          <w:lang w:val="en-US" w:eastAsia="zh-CN"/>
        </w:rPr>
      </w:pPr>
      <w:r>
        <w:rPr>
          <w:rFonts w:hint="default" w:ascii="Arial" w:hAnsi="Arial" w:cs="Arial"/>
          <w:b/>
          <w:bCs/>
          <w:sz w:val="28"/>
          <w:szCs w:val="28"/>
          <w:lang w:val="en-US" w:eastAsia="zh-CN"/>
        </w:rPr>
        <w:t>Product Description</w:t>
      </w: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Applications of Mobile Impact Crusher</w:t>
      </w:r>
    </w:p>
    <w:p>
      <w:pPr>
        <w:widowControl w:val="0"/>
        <w:numPr>
          <w:ilvl w:val="0"/>
          <w:numId w:val="0"/>
        </w:numPr>
        <w:jc w:val="both"/>
        <w:rPr>
          <w:rFonts w:hint="eastAsia" w:ascii="Arial" w:hAnsi="Arial" w:cs="Arial"/>
          <w:b/>
          <w:bCs/>
          <w:sz w:val="24"/>
          <w:szCs w:val="24"/>
          <w:lang w:val="en-US" w:eastAsia="zh-CN"/>
        </w:rPr>
      </w:pPr>
    </w:p>
    <w:p>
      <w:p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Mobile Impact Crusher is used for soft to medium-hard natural stone and for the reprocessing of residual construction materials. In addition to the quality of the end product, is environmental and cost awareness, availability and a wide field of application. Mobile Impact Crusher is widely used in primary coarse &amp; medium crusher in mining, quarry, mixing and batching plant, road and building construction, highway, railway and subway, and water conservancy. It can process Iron ore, copper ore, gold ore , manganese ore, limestone, granite, basalt, andesite, quartz, silica, gypsum, volcanic rock, marble, river stone, gravel, coal etc..</w:t>
      </w:r>
    </w:p>
    <w:p>
      <w:pPr>
        <w:rPr>
          <w:rFonts w:hint="eastAsia" w:ascii="Arial" w:hAnsi="Arial" w:cs="Arial"/>
          <w:b w:val="0"/>
          <w:bCs w:val="0"/>
          <w:sz w:val="21"/>
          <w:szCs w:val="21"/>
          <w:lang w:val="en-US" w:eastAsia="zh-CN"/>
        </w:rPr>
      </w:pPr>
    </w:p>
    <w:p>
      <w:pPr>
        <w:tabs>
          <w:tab w:val="left" w:pos="5218"/>
        </w:tabs>
        <w:rPr>
          <w:rFonts w:hint="eastAsia" w:ascii="Arial" w:hAnsi="Arial" w:cs="Arial"/>
          <w:b/>
          <w:bCs/>
          <w:sz w:val="24"/>
          <w:szCs w:val="24"/>
          <w:lang w:val="en-US" w:eastAsia="zh-CN"/>
        </w:rPr>
      </w:pPr>
      <w:r>
        <w:rPr>
          <w:rFonts w:hint="eastAsia" w:ascii="Arial" w:hAnsi="Arial" w:cs="Arial"/>
          <w:b/>
          <w:bCs/>
          <w:sz w:val="24"/>
          <w:szCs w:val="24"/>
          <w:lang w:val="en-US" w:eastAsia="zh-CN"/>
        </w:rPr>
        <w:t>Advantages of Mobile Impact Crusher</w:t>
      </w:r>
      <w:r>
        <w:rPr>
          <w:rFonts w:hint="eastAsia" w:ascii="Arial" w:hAnsi="Arial" w:cs="Arial"/>
          <w:b/>
          <w:bCs/>
          <w:sz w:val="24"/>
          <w:szCs w:val="24"/>
          <w:lang w:val="en-US" w:eastAsia="zh-CN"/>
        </w:rPr>
        <w:tab/>
      </w:r>
    </w:p>
    <w:p>
      <w:pPr>
        <w:rPr>
          <w:rFonts w:hint="eastAsia" w:ascii="Arial" w:hAnsi="Arial" w:cs="Arial"/>
          <w:b/>
          <w:bCs/>
          <w:sz w:val="24"/>
          <w:szCs w:val="24"/>
          <w:lang w:val="en-US" w:eastAsia="zh-CN"/>
        </w:rPr>
      </w:pPr>
    </w:p>
    <w:p>
      <w:p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1. Easy to transport.</w:t>
      </w:r>
    </w:p>
    <w:p>
      <w:p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 xml:space="preserve">Mobile impact crusher has high on-board chassis, short wheel base and tight turning radius, which is convenient for road transportation, especially for driving to crushing sites that are difficult to access. </w:t>
      </w:r>
    </w:p>
    <w:p>
      <w:pPr>
        <w:numPr>
          <w:ilvl w:val="0"/>
          <w:numId w:val="2"/>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Greatly reduce material transportation cost.</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3. Wide applications.</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Mobile impact crusher can be operated as independent units, or as two-stage crushing plant with primary and secondary crushing, or as three-stage crushing plant with primary, secondary, and tertiary crushing.</w:t>
      </w:r>
    </w:p>
    <w:p>
      <w:pPr>
        <w:numPr>
          <w:ilvl w:val="0"/>
          <w:numId w:val="3"/>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Reliable performance and convenient maintenance.</w:t>
      </w:r>
    </w:p>
    <w:p>
      <w:pPr>
        <w:numPr>
          <w:ilvl w:val="0"/>
          <w:numId w:val="3"/>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Customized production and flexible configuration.</w:t>
      </w:r>
    </w:p>
    <w:p>
      <w:pPr>
        <w:numPr>
          <w:ilvl w:val="0"/>
          <w:numId w:val="0"/>
        </w:numPr>
        <w:rPr>
          <w:rFonts w:hint="eastAsia" w:ascii="Arial" w:hAnsi="Arial" w:cs="Arial"/>
          <w:b w:val="0"/>
          <w:bCs w:val="0"/>
          <w:sz w:val="21"/>
          <w:szCs w:val="21"/>
          <w:lang w:val="en-US" w:eastAsia="zh-CN"/>
        </w:rPr>
      </w:pPr>
    </w:p>
    <w:p>
      <w:pPr>
        <w:numPr>
          <w:ilvl w:val="0"/>
          <w:numId w:val="0"/>
        </w:numPr>
        <w:rPr>
          <w:rFonts w:hint="eastAsia" w:ascii="Arial" w:hAnsi="Arial" w:cs="Arial"/>
          <w:b/>
          <w:bCs/>
          <w:sz w:val="24"/>
          <w:szCs w:val="24"/>
          <w:lang w:val="en-US" w:eastAsia="zh-CN"/>
        </w:rPr>
      </w:pPr>
      <w:r>
        <w:rPr>
          <w:rFonts w:hint="eastAsia" w:ascii="Arial" w:hAnsi="Arial" w:cs="Arial"/>
          <w:b/>
          <w:bCs/>
          <w:sz w:val="24"/>
          <w:szCs w:val="24"/>
          <w:lang w:val="en-US" w:eastAsia="zh-CN"/>
        </w:rPr>
        <w:t>working principle of Mobile Impact Crusher</w:t>
      </w:r>
    </w:p>
    <w:p>
      <w:pPr>
        <w:numPr>
          <w:ilvl w:val="0"/>
          <w:numId w:val="0"/>
        </w:numPr>
        <w:rPr>
          <w:rFonts w:hint="eastAsia" w:ascii="Arial" w:hAnsi="Arial" w:cs="Arial"/>
          <w:b/>
          <w:bCs/>
          <w:sz w:val="24"/>
          <w:szCs w:val="24"/>
          <w:lang w:val="en-US" w:eastAsia="zh-CN"/>
        </w:rPr>
      </w:pP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Mobile Impact Crusher Incorporates all the crushing plants ,such as Impact crusher,Vibrating Feeder,Vibrating screen, belt conveyor,etc. When you use the independent Mobile Crusher Plant,you will save the work to install the basic facilities in the site. This will greatly reduce cost of material and man-hour.Mobile impact crusher is reasonable and compact in arrangement of the equipment.The whole Mobile impact crusher is easy operated and features high flexibility and low transporting cost.</w:t>
      </w:r>
    </w:p>
    <w:p>
      <w:pPr>
        <w:numPr>
          <w:ilvl w:val="0"/>
          <w:numId w:val="0"/>
        </w:numPr>
        <w:rPr>
          <w:rFonts w:hint="eastAsia" w:ascii="Arial" w:hAnsi="Arial" w:cs="Arial"/>
          <w:b w:val="0"/>
          <w:bCs w:val="0"/>
          <w:sz w:val="21"/>
          <w:szCs w:val="21"/>
          <w:lang w:val="en-US" w:eastAsia="zh-CN"/>
        </w:rPr>
      </w:pPr>
    </w:p>
    <w:p>
      <w:pPr>
        <w:numPr>
          <w:ilvl w:val="0"/>
          <w:numId w:val="0"/>
        </w:numPr>
        <w:rPr>
          <w:rFonts w:hint="eastAsia" w:ascii="Arial" w:hAnsi="Arial" w:cs="Arial"/>
          <w:b/>
          <w:bCs/>
          <w:sz w:val="24"/>
          <w:szCs w:val="24"/>
          <w:lang w:val="en-US" w:eastAsia="zh-CN"/>
        </w:rPr>
      </w:pPr>
      <w:r>
        <w:rPr>
          <w:rFonts w:hint="eastAsia" w:ascii="Arial" w:hAnsi="Arial" w:cs="Arial"/>
          <w:b/>
          <w:bCs/>
          <w:sz w:val="24"/>
          <w:szCs w:val="24"/>
          <w:lang w:val="en-US" w:eastAsia="zh-CN"/>
        </w:rPr>
        <w:t>S</w:t>
      </w:r>
      <w:r>
        <w:rPr>
          <w:rFonts w:hint="default" w:ascii="Arial" w:hAnsi="Arial" w:cs="Arial"/>
          <w:b/>
          <w:bCs/>
          <w:sz w:val="24"/>
          <w:szCs w:val="24"/>
          <w:lang w:val="en-US" w:eastAsia="zh-CN"/>
        </w:rPr>
        <w:t>pecifications</w:t>
      </w:r>
      <w:r>
        <w:rPr>
          <w:rFonts w:hint="eastAsia" w:ascii="Arial" w:hAnsi="Arial" w:cs="Arial"/>
          <w:b/>
          <w:bCs/>
          <w:sz w:val="24"/>
          <w:szCs w:val="24"/>
          <w:lang w:val="en-US" w:eastAsia="zh-CN"/>
        </w:rPr>
        <w:t xml:space="preserve"> of Mobile Impact Crusher</w:t>
      </w:r>
    </w:p>
    <w:p>
      <w:pPr>
        <w:numPr>
          <w:ilvl w:val="0"/>
          <w:numId w:val="0"/>
        </w:numPr>
        <w:rPr>
          <w:rFonts w:hint="eastAsia" w:ascii="Arial" w:hAnsi="Arial" w:cs="Arial"/>
          <w:b/>
          <w:bCs/>
          <w:sz w:val="24"/>
          <w:szCs w:val="24"/>
          <w:lang w:val="en-US" w:eastAsia="zh-CN"/>
        </w:rPr>
      </w:pPr>
    </w:p>
    <w:p>
      <w:pPr>
        <w:numPr>
          <w:ilvl w:val="0"/>
          <w:numId w:val="0"/>
        </w:numPr>
        <w:rPr>
          <w:rFonts w:hint="eastAsia" w:ascii="Arial" w:hAnsi="Arial" w:cs="Arial"/>
          <w:b/>
          <w:bCs/>
          <w:sz w:val="24"/>
          <w:szCs w:val="24"/>
          <w:lang w:val="en-US" w:eastAsia="zh-CN"/>
        </w:rPr>
      </w:pPr>
    </w:p>
    <w:tbl>
      <w:tblPr>
        <w:tblStyle w:val="4"/>
        <w:tblW w:w="8423" w:type="dxa"/>
        <w:tblInd w:w="0" w:type="dxa"/>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00"/>
        <w:gridCol w:w="792"/>
        <w:gridCol w:w="2077"/>
        <w:gridCol w:w="2077"/>
        <w:gridCol w:w="2077"/>
      </w:tblGrid>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lang w:val="en-US" w:eastAsia="zh-CN" w:bidi="ar"/>
              </w:rPr>
              <w:t>Technical Data/Model</w:t>
            </w:r>
          </w:p>
        </w:tc>
        <w:tc>
          <w:tcPr>
            <w:tcW w:w="2077"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lang w:val="en-US" w:eastAsia="zh-CN" w:bidi="ar"/>
              </w:rPr>
              <w:t>YG938 FW1214Ⅱ</w:t>
            </w:r>
          </w:p>
        </w:tc>
        <w:tc>
          <w:tcPr>
            <w:tcW w:w="2077"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lang w:val="en-US" w:eastAsia="zh-CN" w:bidi="ar"/>
              </w:rPr>
              <w:t>YG1142 FW315Ⅱ</w:t>
            </w:r>
          </w:p>
        </w:tc>
        <w:tc>
          <w:tcPr>
            <w:tcW w:w="2077" w:type="dxa"/>
            <w:tcBorders>
              <w:top w:val="nil"/>
              <w:left w:val="nil"/>
              <w:bottom w:val="nil"/>
              <w:right w:val="nil"/>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lang w:val="en-US" w:eastAsia="zh-CN" w:bidi="ar"/>
              </w:rPr>
              <w:t>YG1349 FW318Ⅱ</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Transportation size(mm)</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11900×2650×3850</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13500×2780×4150</w:t>
            </w:r>
          </w:p>
        </w:tc>
        <w:tc>
          <w:tcPr>
            <w:tcW w:w="207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15200×2950×4300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Weight(t)</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41</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52</w:t>
            </w:r>
          </w:p>
        </w:tc>
        <w:tc>
          <w:tcPr>
            <w:tcW w:w="207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61</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Tire Configuration</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Dualaxial</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Triaxial</w:t>
            </w:r>
          </w:p>
        </w:tc>
        <w:tc>
          <w:tcPr>
            <w:tcW w:w="207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Triaxial</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Impact Crusher</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PFW-1214Ⅱ</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PFW-1315Ⅱ</w:t>
            </w:r>
          </w:p>
        </w:tc>
        <w:tc>
          <w:tcPr>
            <w:tcW w:w="207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PFW-1318Ⅱ</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The Maximum Feeding Size(mm)</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500</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600</w:t>
            </w:r>
          </w:p>
        </w:tc>
        <w:tc>
          <w:tcPr>
            <w:tcW w:w="207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700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Capacity(t/h)</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130~200</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180~320</w:t>
            </w:r>
          </w:p>
        </w:tc>
        <w:tc>
          <w:tcPr>
            <w:tcW w:w="207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240~400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Vibrating Feeder</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GZD960×3800</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GZD1100×4200</w:t>
            </w:r>
          </w:p>
        </w:tc>
        <w:tc>
          <w:tcPr>
            <w:tcW w:w="207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GZD1300×4900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Main Belt Conveyor</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B800×8.5M</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B1000×9M</w:t>
            </w:r>
          </w:p>
        </w:tc>
        <w:tc>
          <w:tcPr>
            <w:tcW w:w="207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B1200×9.5M</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Side Belt Conveyor (optional)</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B450×3M</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B500×3.5M</w:t>
            </w:r>
          </w:p>
        </w:tc>
        <w:tc>
          <w:tcPr>
            <w:tcW w:w="207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B650×4M</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400" w:type="dxa"/>
            <w:vMerge w:val="restart"/>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Electric control</w:t>
            </w:r>
          </w:p>
        </w:tc>
        <w:tc>
          <w:tcPr>
            <w:tcW w:w="79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standard</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control box + control panel</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control box + control panel</w:t>
            </w:r>
          </w:p>
        </w:tc>
        <w:tc>
          <w:tcPr>
            <w:tcW w:w="207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control box + control panel</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400"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79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optional</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Control box + LCD</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Control box + LCD</w:t>
            </w:r>
          </w:p>
        </w:tc>
        <w:tc>
          <w:tcPr>
            <w:tcW w:w="207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Control box + LCD</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400" w:type="dxa"/>
            <w:vMerge w:val="restart"/>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Hydraulic leg</w:t>
            </w:r>
          </w:p>
        </w:tc>
        <w:tc>
          <w:tcPr>
            <w:tcW w:w="79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standard</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4</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4</w:t>
            </w:r>
          </w:p>
        </w:tc>
        <w:tc>
          <w:tcPr>
            <w:tcW w:w="207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4</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400"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79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optional</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2</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2</w:t>
            </w:r>
          </w:p>
        </w:tc>
        <w:tc>
          <w:tcPr>
            <w:tcW w:w="207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2</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400" w:type="dxa"/>
            <w:vMerge w:val="restart"/>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Hydraulic cyclinder</w:t>
            </w:r>
          </w:p>
        </w:tc>
        <w:tc>
          <w:tcPr>
            <w:tcW w:w="79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standard</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4</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4</w:t>
            </w:r>
          </w:p>
        </w:tc>
        <w:tc>
          <w:tcPr>
            <w:tcW w:w="207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4</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400"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79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optional</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5</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5</w:t>
            </w:r>
          </w:p>
        </w:tc>
        <w:tc>
          <w:tcPr>
            <w:tcW w:w="207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Genset (optional) (Kw)</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270</w:t>
            </w:r>
          </w:p>
        </w:tc>
        <w:tc>
          <w:tcPr>
            <w:tcW w:w="207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380</w:t>
            </w:r>
          </w:p>
        </w:tc>
        <w:tc>
          <w:tcPr>
            <w:tcW w:w="207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440</w:t>
            </w:r>
          </w:p>
        </w:tc>
      </w:tr>
      <w:tr>
        <w:tblPrEx>
          <w:tblBorders>
            <w:top w:val="single" w:color="FFFFFF" w:sz="6"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92"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Iron Separator (optional)(Kw)</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RCYD(C)-8</w:t>
            </w:r>
          </w:p>
        </w:tc>
        <w:tc>
          <w:tcPr>
            <w:tcW w:w="207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RCYD(C)-10</w:t>
            </w:r>
          </w:p>
        </w:tc>
        <w:tc>
          <w:tcPr>
            <w:tcW w:w="207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lang w:val="en-US" w:eastAsia="zh-CN" w:bidi="ar"/>
              </w:rPr>
              <w:t>RCYD(C)-12</w:t>
            </w:r>
          </w:p>
        </w:tc>
      </w:tr>
    </w:tbl>
    <w:p>
      <w:pPr>
        <w:numPr>
          <w:ilvl w:val="0"/>
          <w:numId w:val="0"/>
        </w:numPr>
        <w:rPr>
          <w:rFonts w:hint="eastAsia" w:ascii="Arial" w:hAnsi="Arial" w:cs="Arial"/>
          <w:b/>
          <w:bCs/>
          <w:sz w:val="24"/>
          <w:szCs w:val="24"/>
          <w:lang w:val="en-US" w:eastAsia="zh-CN"/>
        </w:rPr>
      </w:pPr>
    </w:p>
    <w:p>
      <w:pPr>
        <w:numPr>
          <w:ilvl w:val="0"/>
          <w:numId w:val="0"/>
        </w:numPr>
        <w:rPr>
          <w:rFonts w:hint="eastAsia" w:ascii="Arial" w:hAnsi="Arial" w:cs="Arial"/>
          <w:b w:val="0"/>
          <w:b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04b_21">
    <w:altName w:val="Segoe Print"/>
    <w:panose1 w:val="000004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F489"/>
    <w:multiLevelType w:val="singleLevel"/>
    <w:tmpl w:val="57A2F489"/>
    <w:lvl w:ilvl="0" w:tentative="0">
      <w:start w:val="1"/>
      <w:numFmt w:val="chineseCounting"/>
      <w:suff w:val="nothing"/>
      <w:lvlText w:val="%1、"/>
      <w:lvlJc w:val="left"/>
    </w:lvl>
  </w:abstractNum>
  <w:abstractNum w:abstractNumId="1">
    <w:nsid w:val="581845BF"/>
    <w:multiLevelType w:val="singleLevel"/>
    <w:tmpl w:val="581845BF"/>
    <w:lvl w:ilvl="0" w:tentative="0">
      <w:start w:val="2"/>
      <w:numFmt w:val="decimal"/>
      <w:suff w:val="space"/>
      <w:lvlText w:val="%1."/>
      <w:lvlJc w:val="left"/>
    </w:lvl>
  </w:abstractNum>
  <w:abstractNum w:abstractNumId="2">
    <w:nsid w:val="5818464C"/>
    <w:multiLevelType w:val="singleLevel"/>
    <w:tmpl w:val="5818464C"/>
    <w:lvl w:ilvl="0" w:tentative="0">
      <w:start w:val="4"/>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A1006"/>
    <w:rsid w:val="0F6D6E54"/>
    <w:rsid w:val="36F90E73"/>
    <w:rsid w:val="492954F2"/>
    <w:rsid w:val="589277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liming</cp:lastModifiedBy>
  <dcterms:modified xsi:type="dcterms:W3CDTF">2017-09-13T13:21:54Z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